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bookmarkStart w:id="0" w:name="_Toc414540631"/>
            <w:bookmarkStart w:id="1" w:name="_Toc416423216"/>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2" w:name="_Toc429984991"/>
      <w:r w:rsidRPr="00750652">
        <w:rPr>
          <w:b/>
          <w:color w:val="31849B"/>
          <w:sz w:val="32"/>
          <w:szCs w:val="32"/>
        </w:rPr>
        <w:lastRenderedPageBreak/>
        <w:t>Volet 1</w:t>
      </w:r>
      <w:bookmarkEnd w:id="0"/>
      <w:r w:rsidRPr="00750652">
        <w:rPr>
          <w:b/>
          <w:color w:val="31849B"/>
          <w:sz w:val="32"/>
          <w:szCs w:val="32"/>
        </w:rPr>
        <w:t> : les spécificités du cycle de consolidation (cycle 3</w:t>
      </w:r>
      <w:bookmarkEnd w:id="1"/>
      <w:r w:rsidRPr="00750652">
        <w:rPr>
          <w:b/>
          <w:color w:val="31849B"/>
          <w:sz w:val="32"/>
          <w:szCs w:val="32"/>
        </w:rPr>
        <w:t>)</w:t>
      </w:r>
      <w:bookmarkEnd w:id="2"/>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1"/>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2"/>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 w:name="_Toc416423217"/>
      <w:bookmarkStart w:id="4" w:name="_Toc429984992"/>
      <w:r w:rsidRPr="00AE24A2">
        <w:lastRenderedPageBreak/>
        <w:t>Volet 2 : Contributions essentielles des différents enseignements au socle commun</w:t>
      </w:r>
      <w:bookmarkEnd w:id="3"/>
      <w:bookmarkEnd w:id="4"/>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5" w:name="_Toc415063676"/>
      <w:bookmarkStart w:id="6"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7"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5"/>
      <w:bookmarkEnd w:id="6"/>
      <w:r w:rsidRPr="00750652">
        <w:rPr>
          <w:b/>
          <w:color w:val="31849B"/>
          <w:sz w:val="28"/>
          <w:szCs w:val="28"/>
        </w:rPr>
        <w:t>rançais</w:t>
      </w:r>
      <w:bookmarkEnd w:id="7"/>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8" w:name="_Toc415063679"/>
      <w:bookmarkStart w:id="9"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8"/>
      <w:bookmarkEnd w:id="9"/>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10" w:name="_Toc415063680"/>
      <w:bookmarkStart w:id="11"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0"/>
      <w:bookmarkEnd w:id="11"/>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9"/>
          <w:footerReference w:type="default" r:id="rId10"/>
          <w:headerReference w:type="first" r:id="rId11"/>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2"/>
          <w:headerReference w:type="default" r:id="rId13"/>
          <w:footerReference w:type="even" r:id="rId14"/>
          <w:footerReference w:type="default" r:id="rId15"/>
          <w:headerReference w:type="first" r:id="rId16"/>
          <w:footerReference w:type="first" r:id="rId17"/>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12" w:name="_Toc429984994"/>
      <w:r w:rsidRPr="00750652">
        <w:rPr>
          <w:b/>
          <w:color w:val="31849B"/>
          <w:sz w:val="28"/>
          <w:szCs w:val="28"/>
        </w:rPr>
        <w:lastRenderedPageBreak/>
        <w:t>Langues vivantes (étrangères ou régionales</w:t>
      </w:r>
      <w:bookmarkEnd w:id="12"/>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Mobiliser ses connaissances culturelles pour décrire ou raconter des personnages réels </w:t>
            </w:r>
            <w:r w:rsidRPr="004E509D">
              <w:rPr>
                <w:rFonts w:cs="Calibri"/>
                <w:sz w:val="20"/>
                <w:szCs w:val="20"/>
              </w:rPr>
              <w:lastRenderedPageBreak/>
              <w:t>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lastRenderedPageBreak/>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lastRenderedPageBreak/>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lastRenderedPageBreak/>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 xml:space="preserve">les pratiques artistiques de l’image fixe </w:t>
      </w:r>
      <w:r>
        <w:rPr>
          <w:rFonts w:cs="Calibri"/>
          <w:sz w:val="20"/>
          <w:szCs w:val="20"/>
          <w:lang w:eastAsia="zh-CN" w:bidi="hi-IN"/>
        </w:rPr>
        <w:lastRenderedPageBreak/>
        <w:t>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w:t>
            </w:r>
            <w:r w:rsidRPr="0070001F">
              <w:rPr>
                <w:rFonts w:eastAsia="Arial Unicode MS" w:cs="Arial"/>
                <w:color w:val="000000"/>
                <w:sz w:val="20"/>
                <w:szCs w:val="20"/>
                <w:u w:color="000000"/>
                <w:bdr w:val="nil"/>
                <w:lang w:eastAsia="fr-FR"/>
              </w:rPr>
              <w:lastRenderedPageBreak/>
              <w:t>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lastRenderedPageBreak/>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Exploration des conditions du déploiement de volumes dans l’espace, en lien notamment avec </w:t>
            </w:r>
            <w:r w:rsidRPr="00E81BF8">
              <w:rPr>
                <w:rFonts w:eastAsia="Arial Unicode MS" w:cs="Arial"/>
                <w:iCs/>
                <w:color w:val="000000"/>
                <w:sz w:val="20"/>
                <w:szCs w:val="20"/>
                <w:u w:color="000000"/>
                <w:bdr w:val="nil"/>
                <w:lang w:eastAsia="fr-FR"/>
              </w:rPr>
              <w:lastRenderedPageBreak/>
              <w:t>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lastRenderedPageBreak/>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Présentation par un élève – ou un groupe d’élèves – d’un extrait déjà écouté et travaillé en classe en utilisant le </w:t>
            </w:r>
            <w:r w:rsidRPr="00FB7DF3">
              <w:rPr>
                <w:rFonts w:ascii="Calibri" w:hAnsi="Calibri" w:cs="Calibri"/>
                <w:sz w:val="20"/>
                <w:szCs w:val="20"/>
              </w:rPr>
              <w:lastRenderedPageBreak/>
              <w:t>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w:t>
            </w:r>
            <w:r w:rsidRPr="00116990">
              <w:rPr>
                <w:sz w:val="20"/>
                <w:szCs w:val="20"/>
              </w:rPr>
              <w:lastRenderedPageBreak/>
              <w:t>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lastRenderedPageBreak/>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lastRenderedPageBreak/>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13" w:name="OLE_LINK1"/>
            <w:bookmarkStart w:id="14"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13"/>
          <w:bookmarkEnd w:id="14"/>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15" w:name="_Toc429984997"/>
      <w:r w:rsidRPr="006E79EA">
        <w:t>E</w:t>
      </w:r>
      <w:bookmarkEnd w:id="15"/>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16" w:name="_Toc429984998"/>
      <w:r w:rsidRPr="002174FF">
        <w:rPr>
          <w:b/>
          <w:color w:val="31849B"/>
          <w:sz w:val="28"/>
          <w:szCs w:val="28"/>
        </w:rPr>
        <w:lastRenderedPageBreak/>
        <w:t>H</w:t>
      </w:r>
      <w:bookmarkEnd w:id="16"/>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lastRenderedPageBreak/>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w:t>
            </w:r>
            <w:r w:rsidRPr="00844A3A">
              <w:rPr>
                <w:rFonts w:ascii="Calibri" w:hAnsi="Calibri" w:cs="Calibri"/>
                <w:sz w:val="20"/>
                <w:szCs w:val="20"/>
                <w:lang w:val="fr-FR"/>
              </w:rPr>
              <w:lastRenderedPageBreak/>
              <w:t xml:space="preserve">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lastRenderedPageBreak/>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17"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17"/>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18" w:name="_Toc429984999"/>
      <w:r>
        <w:lastRenderedPageBreak/>
        <w:br/>
      </w:r>
    </w:p>
    <w:p w:rsidR="0069791B" w:rsidRDefault="0069791B" w:rsidP="0069791B">
      <w:pPr>
        <w:pStyle w:val="Style1"/>
      </w:pPr>
      <w:r w:rsidRPr="006B5EA0">
        <w:t>Sciences et technologie</w:t>
      </w:r>
      <w:bookmarkEnd w:id="18"/>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lastRenderedPageBreak/>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lastRenderedPageBreak/>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w:t>
            </w:r>
            <w:r w:rsidRPr="003E5240">
              <w:rPr>
                <w:rFonts w:cs="Calibri"/>
                <w:sz w:val="20"/>
                <w:szCs w:val="20"/>
              </w:rPr>
              <w:lastRenderedPageBreak/>
              <w:t xml:space="preserve">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lastRenderedPageBreak/>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 xml:space="preserve">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w:t>
            </w:r>
            <w:r w:rsidRPr="003E5240">
              <w:rPr>
                <w:rFonts w:cs="Calibri"/>
              </w:rPr>
              <w:lastRenderedPageBreak/>
              <w:t>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lastRenderedPageBreak/>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lastRenderedPageBreak/>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lastRenderedPageBreak/>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lastRenderedPageBreak/>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lastRenderedPageBreak/>
              <w:t xml:space="preserve">En groupe, les élèves sont amenés à </w:t>
            </w:r>
            <w:r w:rsidRPr="00E06BAA">
              <w:rPr>
                <w:rFonts w:eastAsia="Cambria"/>
                <w:color w:val="auto"/>
                <w:sz w:val="20"/>
                <w:szCs w:val="20"/>
              </w:rPr>
              <w:lastRenderedPageBreak/>
              <w:t>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19" w:name="_Toc429985000"/>
      <w:r>
        <w:br w:type="page"/>
      </w:r>
      <w:r w:rsidRPr="003E6190">
        <w:lastRenderedPageBreak/>
        <w:t>Mathématiques</w:t>
      </w:r>
      <w:bookmarkEnd w:id="19"/>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lastRenderedPageBreak/>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lastRenderedPageBreak/>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lastRenderedPageBreak/>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lastRenderedPageBreak/>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lastRenderedPageBreak/>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lastRenderedPageBreak/>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lastRenderedPageBreak/>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w:t>
            </w:r>
            <w:r w:rsidRPr="00F316A8">
              <w:rPr>
                <w:rFonts w:cs="Calibri"/>
                <w:kern w:val="24"/>
                <w:sz w:val="20"/>
                <w:szCs w:val="20"/>
              </w:rPr>
              <w:lastRenderedPageBreak/>
              <w:t xml:space="preserve">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lastRenderedPageBreak/>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Situations conduisant les élèves à utiliser des techniques qui évoluent en fonction des supports et des instruments choisis ; par exemple pour la symétrie axiale, passer du pliage ou de l’utilisation </w:t>
            </w:r>
            <w:r w:rsidRPr="00F316A8">
              <w:rPr>
                <w:rFonts w:cs="Calibri"/>
                <w:sz w:val="20"/>
                <w:szCs w:val="20"/>
              </w:rPr>
              <w:lastRenderedPageBreak/>
              <w:t>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 xml:space="preserve">s veilleront à toujours </w:t>
            </w:r>
            <w:r w:rsidRPr="002C0E6B">
              <w:rPr>
                <w:rFonts w:cs="Calibri"/>
                <w:sz w:val="20"/>
                <w:szCs w:val="20"/>
              </w:rPr>
              <w:lastRenderedPageBreak/>
              <w:t>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E6451E" w:rsidRDefault="0069791B" w:rsidP="00D8725E">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bookmarkStart w:id="20" w:name="_GoBack"/>
      <w:bookmarkEnd w:id="20"/>
      <w:r w:rsidRPr="00F316A8">
        <w:rPr>
          <w:rFonts w:cs="Calibri"/>
          <w:sz w:val="20"/>
          <w:szCs w:val="20"/>
        </w:rPr>
        <w:t>…).</w:t>
      </w:r>
    </w:p>
    <w:sectPr w:rsidR="0069791B" w:rsidRPr="00E6451E" w:rsidSect="009976E5">
      <w:footerReference w:type="default" r:id="rId18"/>
      <w:headerReference w:type="first" r:id="rId1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15" w:rsidRDefault="00CE7615" w:rsidP="009976E5">
      <w:pPr>
        <w:spacing w:after="0" w:line="240" w:lineRule="auto"/>
      </w:pPr>
      <w:r>
        <w:separator/>
      </w:r>
    </w:p>
  </w:endnote>
  <w:endnote w:type="continuationSeparator" w:id="0">
    <w:p w:rsidR="00CE7615" w:rsidRDefault="00CE7615"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Pieddepage"/>
      <w:jc w:val="right"/>
      <w:rPr>
        <w:lang w:val="fr-FR"/>
      </w:rPr>
    </w:pPr>
    <w:r>
      <w:fldChar w:fldCharType="begin"/>
    </w:r>
    <w:r>
      <w:instrText>PAGE   \* MERGEFORMAT</w:instrText>
    </w:r>
    <w:r>
      <w:fldChar w:fldCharType="separate"/>
    </w:r>
    <w:r w:rsidR="00D8725E" w:rsidRPr="00D8725E">
      <w:rPr>
        <w:noProof/>
        <w:lang w:val="fr-FR"/>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PAGE   \* MERGEFORMAT</w:instrText>
    </w:r>
    <w:r>
      <w:fldChar w:fldCharType="separate"/>
    </w:r>
    <w:r w:rsidR="00D8725E" w:rsidRPr="00D8725E">
      <w:rPr>
        <w:noProof/>
        <w:lang w:val="fr-FR"/>
      </w:rPr>
      <w:t>25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D8725E">
      <w:rPr>
        <w:noProof/>
      </w:rPr>
      <w:t>84</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15" w:rsidRDefault="00CE7615" w:rsidP="009976E5">
      <w:pPr>
        <w:spacing w:after="0" w:line="240" w:lineRule="auto"/>
      </w:pPr>
      <w:r>
        <w:separator/>
      </w:r>
    </w:p>
  </w:footnote>
  <w:footnote w:type="continuationSeparator" w:id="0">
    <w:p w:rsidR="00CE7615" w:rsidRDefault="00CE7615" w:rsidP="009976E5">
      <w:pPr>
        <w:spacing w:after="0" w:line="240" w:lineRule="auto"/>
      </w:pPr>
      <w:r>
        <w:continuationSeparator/>
      </w:r>
    </w:p>
  </w:footnote>
  <w:footnote w:id="1">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2">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14:anchorId="1186869E" wp14:editId="70E7158A">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0D51E3"/>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096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E7615"/>
    <w:rsid w:val="00CF46E5"/>
    <w:rsid w:val="00CF58E8"/>
    <w:rsid w:val="00D06209"/>
    <w:rsid w:val="00D2675F"/>
    <w:rsid w:val="00D413A1"/>
    <w:rsid w:val="00D8725E"/>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AB3F-0EC4-49D0-BA3D-C6569EDF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45279</Words>
  <Characters>249040</Characters>
  <Application>Microsoft Office Word</Application>
  <DocSecurity>0</DocSecurity>
  <Lines>2075</Lines>
  <Paragraphs>587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293732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David Tournier</cp:lastModifiedBy>
  <cp:revision>2</cp:revision>
  <dcterms:created xsi:type="dcterms:W3CDTF">2016-01-11T08:15:00Z</dcterms:created>
  <dcterms:modified xsi:type="dcterms:W3CDTF">2016-01-11T08:15:00Z</dcterms:modified>
</cp:coreProperties>
</file>