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F3" w:rsidRPr="00682BF3" w:rsidRDefault="00682BF3" w:rsidP="003E3EE5">
      <w:pPr>
        <w:rPr>
          <w:sz w:val="24"/>
          <w:szCs w:val="24"/>
        </w:rPr>
      </w:pPr>
      <w:bookmarkStart w:id="0" w:name="_GoBack"/>
      <w:bookmarkEnd w:id="0"/>
    </w:p>
    <w:tbl>
      <w:tblPr>
        <w:tblpPr w:leftFromText="142" w:rightFromText="142" w:vertAnchor="page" w:horzAnchor="margin" w:tblpXSpec="center" w:tblpY="481"/>
        <w:tblW w:w="10598" w:type="dxa"/>
        <w:jc w:val="center"/>
        <w:tblBorders>
          <w:top w:val="thickThinSmallGap" w:sz="24" w:space="0" w:color="C00000"/>
          <w:bottom w:val="thickThinSmallGap" w:sz="24" w:space="0" w:color="C00000"/>
        </w:tblBorders>
        <w:tblLayout w:type="fixed"/>
        <w:tblLook w:val="01E0" w:firstRow="1" w:lastRow="1" w:firstColumn="1" w:lastColumn="1" w:noHBand="0" w:noVBand="0"/>
      </w:tblPr>
      <w:tblGrid>
        <w:gridCol w:w="10598"/>
      </w:tblGrid>
      <w:tr w:rsidR="00682BF3" w:rsidRPr="00682BF3" w:rsidTr="00682BF3">
        <w:trPr>
          <w:trHeight w:val="567"/>
          <w:jc w:val="center"/>
        </w:trPr>
        <w:tc>
          <w:tcPr>
            <w:tcW w:w="10598" w:type="dxa"/>
            <w:vAlign w:val="center"/>
          </w:tcPr>
          <w:p w:rsidR="00682BF3" w:rsidRPr="00682BF3" w:rsidRDefault="00682BF3" w:rsidP="00682BF3">
            <w:pPr>
              <w:spacing w:before="60" w:after="60" w:line="240" w:lineRule="auto"/>
              <w:jc w:val="center"/>
              <w:rPr>
                <w:rFonts w:ascii="Calibri" w:eastAsia="Times New Roman" w:hAnsi="Calibri" w:cs="Times New Roman"/>
                <w:b/>
                <w:color w:val="C00000"/>
                <w:sz w:val="40"/>
                <w:szCs w:val="40"/>
                <w:u w:val="none"/>
                <w:lang w:eastAsia="fr-FR"/>
              </w:rPr>
            </w:pPr>
            <w:r w:rsidRPr="00682BF3">
              <w:rPr>
                <w:rFonts w:ascii="Calibri" w:eastAsia="Times New Roman" w:hAnsi="Calibri" w:cs="Times New Roman"/>
                <w:b/>
                <w:color w:val="C00000"/>
                <w:sz w:val="40"/>
                <w:szCs w:val="40"/>
                <w:u w:val="none"/>
                <w:lang w:eastAsia="fr-FR"/>
              </w:rPr>
              <w:t>LA CONQU</w:t>
            </w:r>
            <w:r w:rsidRPr="00682BF3">
              <w:rPr>
                <w:rFonts w:ascii="Calibri" w:eastAsia="Times New Roman" w:hAnsi="Calibri" w:cs="Calibri"/>
                <w:b/>
                <w:color w:val="C00000"/>
                <w:sz w:val="40"/>
                <w:szCs w:val="40"/>
                <w:u w:val="none"/>
                <w:lang w:eastAsia="fr-FR"/>
              </w:rPr>
              <w:t>Ê</w:t>
            </w:r>
            <w:r w:rsidRPr="00682BF3">
              <w:rPr>
                <w:rFonts w:ascii="Calibri" w:eastAsia="Times New Roman" w:hAnsi="Calibri" w:cs="Times New Roman"/>
                <w:b/>
                <w:color w:val="C00000"/>
                <w:sz w:val="40"/>
                <w:szCs w:val="40"/>
                <w:u w:val="none"/>
                <w:lang w:eastAsia="fr-FR"/>
              </w:rPr>
              <w:t xml:space="preserve">TE DE L’AUTONOMIE </w:t>
            </w:r>
            <w:r w:rsidRPr="00682BF3">
              <w:rPr>
                <w:rFonts w:ascii="Calibri" w:eastAsia="Times New Roman" w:hAnsi="Calibri" w:cs="Calibri"/>
                <w:b/>
                <w:color w:val="C00000"/>
                <w:sz w:val="40"/>
                <w:szCs w:val="40"/>
                <w:u w:val="none"/>
                <w:lang w:eastAsia="fr-FR"/>
              </w:rPr>
              <w:t>À</w:t>
            </w:r>
            <w:r w:rsidRPr="00682BF3">
              <w:rPr>
                <w:rFonts w:ascii="Calibri" w:eastAsia="Times New Roman" w:hAnsi="Calibri" w:cs="Times New Roman"/>
                <w:b/>
                <w:color w:val="C00000"/>
                <w:sz w:val="40"/>
                <w:szCs w:val="40"/>
                <w:u w:val="none"/>
                <w:lang w:eastAsia="fr-FR"/>
              </w:rPr>
              <w:t xml:space="preserve"> L’</w:t>
            </w:r>
            <w:r w:rsidRPr="00682BF3">
              <w:rPr>
                <w:rFonts w:ascii="Calibri" w:eastAsia="Times New Roman" w:hAnsi="Calibri" w:cs="Calibri"/>
                <w:b/>
                <w:color w:val="C00000"/>
                <w:sz w:val="40"/>
                <w:szCs w:val="40"/>
                <w:u w:val="none"/>
                <w:lang w:eastAsia="fr-FR"/>
              </w:rPr>
              <w:t>ÉCOLE MATERNELLE</w:t>
            </w:r>
          </w:p>
        </w:tc>
      </w:tr>
    </w:tbl>
    <w:p w:rsidR="00DF4F45" w:rsidRPr="00682BF3" w:rsidRDefault="00682BF3" w:rsidP="00682BF3">
      <w:pPr>
        <w:pStyle w:val="Paragraphedeliste"/>
        <w:numPr>
          <w:ilvl w:val="0"/>
          <w:numId w:val="1"/>
        </w:numPr>
        <w:rPr>
          <w:b/>
          <w:color w:val="C00000"/>
          <w:sz w:val="30"/>
          <w:szCs w:val="30"/>
        </w:rPr>
      </w:pPr>
      <w:r w:rsidRPr="00682BF3">
        <w:rPr>
          <w:b/>
          <w:color w:val="C00000"/>
          <w:sz w:val="30"/>
          <w:szCs w:val="30"/>
        </w:rPr>
        <w:t xml:space="preserve">Les différents </w:t>
      </w:r>
      <w:r w:rsidR="006F5E06">
        <w:rPr>
          <w:b/>
          <w:color w:val="C00000"/>
          <w:sz w:val="30"/>
          <w:szCs w:val="30"/>
        </w:rPr>
        <w:t>types d</w:t>
      </w:r>
      <w:r w:rsidRPr="00682BF3">
        <w:rPr>
          <w:b/>
          <w:color w:val="C00000"/>
          <w:sz w:val="30"/>
          <w:szCs w:val="30"/>
        </w:rPr>
        <w:t>’autonomie scolaire</w:t>
      </w:r>
    </w:p>
    <w:p w:rsidR="00682BF3" w:rsidRDefault="00682BF3" w:rsidP="00367BA3">
      <w:pPr>
        <w:pStyle w:val="Paragraphedeliste"/>
        <w:numPr>
          <w:ilvl w:val="0"/>
          <w:numId w:val="3"/>
        </w:numPr>
        <w:spacing w:before="400" w:after="0"/>
        <w:ind w:left="714" w:hanging="357"/>
        <w:contextualSpacing w:val="0"/>
        <w:jc w:val="both"/>
        <w:rPr>
          <w:rFonts w:ascii="Calibri" w:eastAsia="Times New Roman" w:hAnsi="Calibri" w:cs="Times New Roman"/>
          <w:sz w:val="24"/>
          <w:szCs w:val="24"/>
          <w:u w:val="none"/>
          <w:lang w:eastAsia="fr-FR"/>
        </w:rPr>
      </w:pPr>
      <w:r>
        <w:rPr>
          <w:rFonts w:ascii="Calibri" w:eastAsia="Times New Roman" w:hAnsi="Calibri" w:cs="Times New Roman"/>
          <w:b/>
          <w:sz w:val="24"/>
          <w:szCs w:val="24"/>
          <w:u w:val="none"/>
          <w:lang w:eastAsia="fr-FR"/>
        </w:rPr>
        <w:t>l</w:t>
      </w:r>
      <w:r w:rsidRPr="00682BF3">
        <w:rPr>
          <w:rFonts w:ascii="Calibri" w:eastAsia="Times New Roman" w:hAnsi="Calibri" w:cs="Times New Roman"/>
          <w:b/>
          <w:sz w:val="24"/>
          <w:szCs w:val="24"/>
          <w:u w:val="none"/>
          <w:lang w:eastAsia="fr-FR"/>
        </w:rPr>
        <w:t>’autonomie affective et relationnelle :</w:t>
      </w:r>
      <w:r w:rsidRPr="00682BF3">
        <w:rPr>
          <w:rFonts w:ascii="Calibri" w:eastAsia="Times New Roman" w:hAnsi="Calibri" w:cs="Times New Roman"/>
          <w:sz w:val="24"/>
          <w:szCs w:val="24"/>
          <w:u w:val="none"/>
          <w:lang w:eastAsia="fr-FR"/>
        </w:rPr>
        <w:t xml:space="preserve"> l’enfant doit parvenir peu à peu à se dégager de l’aide de l’adulte ; il est capable d’agir seul face </w:t>
      </w:r>
      <w:r>
        <w:rPr>
          <w:rFonts w:ascii="Calibri" w:eastAsia="Times New Roman" w:hAnsi="Calibri" w:cs="Times New Roman"/>
          <w:sz w:val="24"/>
          <w:szCs w:val="24"/>
          <w:u w:val="none"/>
          <w:lang w:eastAsia="fr-FR"/>
        </w:rPr>
        <w:t>aux situations qu’il rencontre.</w:t>
      </w:r>
    </w:p>
    <w:p w:rsidR="00682BF3" w:rsidRDefault="00682BF3" w:rsidP="00367BA3">
      <w:pPr>
        <w:pStyle w:val="Paragraphedeliste"/>
        <w:numPr>
          <w:ilvl w:val="0"/>
          <w:numId w:val="3"/>
        </w:numPr>
        <w:spacing w:before="200" w:after="0"/>
        <w:jc w:val="both"/>
        <w:rPr>
          <w:rFonts w:ascii="Calibri" w:eastAsia="Times New Roman" w:hAnsi="Calibri" w:cs="Times New Roman"/>
          <w:sz w:val="24"/>
          <w:szCs w:val="24"/>
          <w:u w:val="none"/>
          <w:lang w:eastAsia="fr-FR"/>
        </w:rPr>
      </w:pPr>
      <w:r w:rsidRPr="00682BF3">
        <w:rPr>
          <w:rFonts w:ascii="Calibri" w:eastAsia="Times New Roman" w:hAnsi="Calibri" w:cs="Times New Roman"/>
          <w:b/>
          <w:sz w:val="24"/>
          <w:szCs w:val="24"/>
          <w:u w:val="none"/>
          <w:lang w:eastAsia="fr-FR"/>
        </w:rPr>
        <w:t>l’autonomie physique :</w:t>
      </w:r>
      <w:r w:rsidRPr="00682BF3">
        <w:rPr>
          <w:rFonts w:ascii="Calibri" w:eastAsia="Times New Roman" w:hAnsi="Calibri" w:cs="Times New Roman"/>
          <w:sz w:val="24"/>
          <w:szCs w:val="24"/>
          <w:u w:val="none"/>
          <w:lang w:eastAsia="fr-FR"/>
        </w:rPr>
        <w:t xml:space="preserve"> l’enfant prend conscience de ses possibilités physiques, il apprend et contrôle les gestes quotidiens. Il s’éprouve progressivement comme une personne authentique, responsable et se projette dans l’action.</w:t>
      </w:r>
    </w:p>
    <w:p w:rsidR="006445A4" w:rsidRPr="00682BF3" w:rsidRDefault="00682BF3" w:rsidP="00367BA3">
      <w:pPr>
        <w:pStyle w:val="Paragraphedeliste"/>
        <w:numPr>
          <w:ilvl w:val="0"/>
          <w:numId w:val="3"/>
        </w:numPr>
        <w:spacing w:before="200" w:after="0"/>
        <w:jc w:val="both"/>
      </w:pPr>
      <w:r w:rsidRPr="00682BF3">
        <w:rPr>
          <w:rFonts w:ascii="Calibri" w:eastAsia="Times New Roman" w:hAnsi="Calibri" w:cs="Times New Roman"/>
          <w:b/>
          <w:sz w:val="24"/>
          <w:szCs w:val="24"/>
          <w:u w:val="none"/>
          <w:lang w:eastAsia="fr-FR"/>
        </w:rPr>
        <w:t>l’autonomie intellectuelle :</w:t>
      </w:r>
      <w:r w:rsidRPr="00682BF3">
        <w:rPr>
          <w:rFonts w:ascii="Calibri" w:eastAsia="Times New Roman" w:hAnsi="Calibri" w:cs="Times New Roman"/>
          <w:sz w:val="24"/>
          <w:szCs w:val="24"/>
          <w:u w:val="none"/>
          <w:lang w:eastAsia="fr-FR"/>
        </w:rPr>
        <w:t xml:space="preserve"> l’enfant doit pouvoir penser par lui-même d’où la nécessité de lui donner les moyens de savoir comment utiliser ce qu’il a appris dans d’autres contextes. L’élève doit « appr</w:t>
      </w:r>
      <w:r w:rsidR="0067138D">
        <w:rPr>
          <w:rFonts w:ascii="Calibri" w:eastAsia="Times New Roman" w:hAnsi="Calibri" w:cs="Times New Roman"/>
          <w:sz w:val="24"/>
          <w:szCs w:val="24"/>
          <w:u w:val="none"/>
          <w:lang w:eastAsia="fr-FR"/>
        </w:rPr>
        <w:t>endre à apprendre » et à s’auto</w:t>
      </w:r>
      <w:r w:rsidRPr="00682BF3">
        <w:rPr>
          <w:rFonts w:ascii="Calibri" w:eastAsia="Times New Roman" w:hAnsi="Calibri" w:cs="Times New Roman"/>
          <w:sz w:val="24"/>
          <w:szCs w:val="24"/>
          <w:u w:val="none"/>
          <w:lang w:eastAsia="fr-FR"/>
        </w:rPr>
        <w:t xml:space="preserve">évaluer. </w:t>
      </w:r>
    </w:p>
    <w:p w:rsidR="00682BF3" w:rsidRDefault="00682BF3" w:rsidP="00682BF3">
      <w:pPr>
        <w:spacing w:before="200" w:after="0" w:line="360" w:lineRule="auto"/>
        <w:jc w:val="right"/>
        <w:rPr>
          <w:rFonts w:ascii="Calibri" w:eastAsia="Times New Roman" w:hAnsi="Calibri" w:cs="Times New Roman"/>
          <w:sz w:val="16"/>
          <w:szCs w:val="16"/>
          <w:u w:val="none"/>
          <w:lang w:eastAsia="fr-FR"/>
        </w:rPr>
      </w:pPr>
      <w:r w:rsidRPr="00682BF3">
        <w:rPr>
          <w:rFonts w:ascii="Calibri" w:eastAsia="Times New Roman" w:hAnsi="Calibri" w:cs="Times New Roman"/>
          <w:sz w:val="16"/>
          <w:szCs w:val="16"/>
          <w:u w:val="none"/>
          <w:lang w:eastAsia="fr-FR"/>
        </w:rPr>
        <w:t xml:space="preserve">Inspection Académique de la Somme, Groupe Maternelle, </w:t>
      </w:r>
      <w:r w:rsidRPr="00682BF3">
        <w:rPr>
          <w:rFonts w:ascii="Calibri" w:eastAsia="Times New Roman" w:hAnsi="Calibri" w:cs="Times New Roman"/>
          <w:i/>
          <w:sz w:val="16"/>
          <w:szCs w:val="16"/>
          <w:u w:val="none"/>
          <w:lang w:eastAsia="fr-FR"/>
        </w:rPr>
        <w:t>« L’autonomie à l’école maternelle »</w:t>
      </w:r>
    </w:p>
    <w:p w:rsidR="00367BA3" w:rsidRPr="00367BA3" w:rsidRDefault="00367BA3" w:rsidP="00367BA3">
      <w:pPr>
        <w:pStyle w:val="Paragraphedeliste"/>
        <w:numPr>
          <w:ilvl w:val="0"/>
          <w:numId w:val="1"/>
        </w:numPr>
        <w:rPr>
          <w:b/>
          <w:color w:val="C00000"/>
          <w:sz w:val="30"/>
          <w:szCs w:val="30"/>
        </w:rPr>
      </w:pPr>
      <w:r w:rsidRPr="00367BA3">
        <w:rPr>
          <w:b/>
          <w:color w:val="C00000"/>
          <w:sz w:val="30"/>
          <w:szCs w:val="30"/>
        </w:rPr>
        <w:t xml:space="preserve">Les différents </w:t>
      </w:r>
      <w:r>
        <w:rPr>
          <w:b/>
          <w:color w:val="C00000"/>
          <w:sz w:val="30"/>
          <w:szCs w:val="30"/>
        </w:rPr>
        <w:t>types de coopération au sein d’une classe</w:t>
      </w:r>
    </w:p>
    <w:p w:rsidR="00367BA3" w:rsidRDefault="00367BA3" w:rsidP="00367BA3">
      <w:pPr>
        <w:spacing w:before="200" w:after="0"/>
        <w:jc w:val="both"/>
        <w:rPr>
          <w:u w:val="none"/>
        </w:rPr>
      </w:pPr>
      <w:r>
        <w:rPr>
          <w:noProof/>
          <w:u w:val="none"/>
          <w:lang w:eastAsia="fr-FR"/>
        </w:rPr>
        <w:drawing>
          <wp:anchor distT="0" distB="0" distL="114300" distR="114300" simplePos="0" relativeHeight="251658240" behindDoc="0" locked="0" layoutInCell="1" allowOverlap="1" wp14:anchorId="61CAF49B" wp14:editId="4216D05A">
            <wp:simplePos x="0" y="0"/>
            <wp:positionH relativeFrom="column">
              <wp:posOffset>3821430</wp:posOffset>
            </wp:positionH>
            <wp:positionV relativeFrom="paragraph">
              <wp:posOffset>57785</wp:posOffset>
            </wp:positionV>
            <wp:extent cx="3216910" cy="2230755"/>
            <wp:effectExtent l="0" t="0" r="0" b="0"/>
            <wp:wrapSquare wrapText="bothSides"/>
            <wp:docPr id="1" name="Image 1" descr="Fil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 328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1691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E</w:t>
      </w:r>
      <w:r w:rsidRPr="00367BA3">
        <w:rPr>
          <w:u w:val="none"/>
        </w:rPr>
        <w:t xml:space="preserve">n référence aux travaux de  Sylvain </w:t>
      </w:r>
      <w:proofErr w:type="spellStart"/>
      <w:r w:rsidRPr="00367BA3">
        <w:rPr>
          <w:u w:val="none"/>
        </w:rPr>
        <w:t>Connac</w:t>
      </w:r>
      <w:proofErr w:type="spellEnd"/>
      <w:r w:rsidRPr="00367BA3">
        <w:rPr>
          <w:u w:val="none"/>
        </w:rPr>
        <w:t>, enseignant et chercheur en sciences de l’éducation :</w:t>
      </w:r>
    </w:p>
    <w:p w:rsidR="00367BA3" w:rsidRPr="00367BA3" w:rsidRDefault="00367BA3" w:rsidP="00367BA3">
      <w:pPr>
        <w:spacing w:before="200" w:after="0"/>
        <w:jc w:val="both"/>
        <w:rPr>
          <w:rFonts w:ascii="Calibri" w:eastAsia="Times New Roman" w:hAnsi="Calibri" w:cs="Times New Roman"/>
          <w:u w:val="none"/>
          <w:lang w:eastAsia="fr-FR"/>
        </w:rPr>
      </w:pPr>
      <w:r w:rsidRPr="00367BA3">
        <w:rPr>
          <w:rFonts w:ascii="Calibri" w:eastAsia="Times New Roman" w:hAnsi="Calibri" w:cs="Times New Roman"/>
          <w:b/>
          <w:i/>
          <w:u w:val="none"/>
          <w:lang w:eastAsia="fr-FR"/>
        </w:rPr>
        <w:t>L’aide :</w:t>
      </w:r>
      <w:r w:rsidRPr="00367BA3">
        <w:rPr>
          <w:rFonts w:ascii="Calibri" w:eastAsia="Times New Roman" w:hAnsi="Calibri" w:cs="Times New Roman"/>
          <w:u w:val="none"/>
          <w:lang w:eastAsia="fr-FR"/>
        </w:rPr>
        <w:t xml:space="preserve"> un enfant, reconnu « expert », vient apporter ses connaissances à un pair qui en a explicitement manifesté le besoin. Il met ses compétences à disposition pour aider son camarade à dépasser une difficulté. L’aide n’a pas fait l’objet d’une organisation ; elle s’engage en fonction d’un problème soulevé. Elle s’appuie sur des valeurs de don de soi et sur l’acceptation que l’on gagne à interagir avec les autres. Une situation d’aide s’achève dès lors que celui qui l’a sollicitée peut poursuivre son travail de manière autonome ou s’il ne se reconnaît plus dans l’aide demandée.</w:t>
      </w:r>
    </w:p>
    <w:p w:rsidR="00367BA3" w:rsidRPr="00367BA3" w:rsidRDefault="00367BA3" w:rsidP="00367BA3">
      <w:pPr>
        <w:spacing w:before="200" w:after="0"/>
        <w:jc w:val="both"/>
        <w:rPr>
          <w:rFonts w:ascii="Calibri" w:eastAsia="Times New Roman" w:hAnsi="Calibri" w:cs="Times New Roman"/>
          <w:u w:val="none"/>
          <w:lang w:eastAsia="fr-FR"/>
        </w:rPr>
      </w:pPr>
      <w:r w:rsidRPr="00367BA3">
        <w:rPr>
          <w:rFonts w:ascii="Calibri" w:eastAsia="Times New Roman" w:hAnsi="Calibri" w:cs="Times New Roman"/>
          <w:b/>
          <w:i/>
          <w:u w:val="none"/>
          <w:lang w:eastAsia="fr-FR"/>
        </w:rPr>
        <w:t>L’entraide :</w:t>
      </w:r>
      <w:r w:rsidRPr="00367BA3">
        <w:rPr>
          <w:rFonts w:ascii="Calibri" w:eastAsia="Times New Roman" w:hAnsi="Calibri" w:cs="Times New Roman"/>
          <w:u w:val="none"/>
          <w:lang w:eastAsia="fr-FR"/>
        </w:rPr>
        <w:t xml:space="preserve"> « l’union fait la force ». Ici, deux ou plusieurs enfants se réunissent pour tenter de résoudre un problème ou une difficulté. Les acteurs sont égaux devant la tâche. L’entraide s’appuie sur des valeurs d’écoute, de partage des responsabilités et de confiance mutuelle. Elle se termine lorsque la tâche est achevée ou lorsque les acteurs s’accordent à penser qu’il y a une impossibilité manifeste à résoudre la tâche.</w:t>
      </w:r>
    </w:p>
    <w:p w:rsidR="00367BA3" w:rsidRPr="00367BA3" w:rsidRDefault="00367BA3" w:rsidP="00367BA3">
      <w:pPr>
        <w:spacing w:before="200" w:after="0"/>
        <w:jc w:val="both"/>
        <w:rPr>
          <w:rFonts w:ascii="Calibri" w:eastAsia="Times New Roman" w:hAnsi="Calibri" w:cs="Times New Roman"/>
          <w:u w:val="none"/>
          <w:lang w:eastAsia="fr-FR"/>
        </w:rPr>
      </w:pPr>
      <w:r w:rsidRPr="00367BA3">
        <w:rPr>
          <w:rFonts w:ascii="Calibri" w:eastAsia="Times New Roman" w:hAnsi="Calibri" w:cs="Times New Roman"/>
          <w:b/>
          <w:i/>
          <w:u w:val="none"/>
          <w:lang w:eastAsia="fr-FR"/>
        </w:rPr>
        <w:t>Le tutorat :</w:t>
      </w:r>
      <w:r w:rsidRPr="00367BA3">
        <w:rPr>
          <w:rFonts w:ascii="Calibri" w:eastAsia="Times New Roman" w:hAnsi="Calibri" w:cs="Times New Roman"/>
          <w:u w:val="none"/>
          <w:lang w:eastAsia="fr-FR"/>
        </w:rPr>
        <w:t xml:space="preserve"> un enfant, reconnu expert, accepte pour un temps donné et avec un objectif précis, d’accompagner un de ses camarades jusqu’à ce que ce dernier devienne autonome dans le domaine du tutorat. Le tutorat s’appuie sur une organisation précise : l’enseignant a préalablement effectué une reconnaissance fine des compétences du tuteur et lui a expliqué les buts à poursuivre. Le tutorat s’achève lorsque le </w:t>
      </w:r>
      <w:proofErr w:type="spellStart"/>
      <w:r w:rsidRPr="00367BA3">
        <w:rPr>
          <w:rFonts w:ascii="Calibri" w:eastAsia="Times New Roman" w:hAnsi="Calibri" w:cs="Times New Roman"/>
          <w:u w:val="none"/>
          <w:lang w:eastAsia="fr-FR"/>
        </w:rPr>
        <w:t>tutoré</w:t>
      </w:r>
      <w:proofErr w:type="spellEnd"/>
      <w:r w:rsidRPr="00367BA3">
        <w:rPr>
          <w:rFonts w:ascii="Calibri" w:eastAsia="Times New Roman" w:hAnsi="Calibri" w:cs="Times New Roman"/>
          <w:u w:val="none"/>
          <w:lang w:eastAsia="fr-FR"/>
        </w:rPr>
        <w:t xml:space="preserve"> a atteint le degré d’autonomie dans le domaine de la compétence travaillée ou </w:t>
      </w:r>
      <w:r>
        <w:rPr>
          <w:rFonts w:ascii="Calibri" w:eastAsia="Times New Roman" w:hAnsi="Calibri" w:cs="Times New Roman"/>
          <w:u w:val="none"/>
          <w:lang w:eastAsia="fr-FR"/>
        </w:rPr>
        <w:t>s’il</w:t>
      </w:r>
      <w:r w:rsidRPr="00367BA3">
        <w:rPr>
          <w:rFonts w:ascii="Calibri" w:eastAsia="Times New Roman" w:hAnsi="Calibri" w:cs="Times New Roman"/>
          <w:u w:val="none"/>
          <w:lang w:eastAsia="fr-FR"/>
        </w:rPr>
        <w:t xml:space="preserve"> ne fonctionne pas. Dans ce dernier cas, il devra être remplacé par une nouvelle organisation.</w:t>
      </w:r>
    </w:p>
    <w:p w:rsidR="00367BA3" w:rsidRPr="00367BA3" w:rsidRDefault="00367BA3" w:rsidP="00367BA3">
      <w:pPr>
        <w:spacing w:before="140" w:after="0"/>
        <w:jc w:val="both"/>
        <w:rPr>
          <w:u w:val="none"/>
        </w:rPr>
      </w:pPr>
      <w:r w:rsidRPr="00367BA3">
        <w:rPr>
          <w:rFonts w:ascii="Calibri" w:eastAsia="Times New Roman" w:hAnsi="Calibri" w:cs="Times New Roman"/>
          <w:b/>
          <w:i/>
          <w:u w:val="none"/>
          <w:lang w:eastAsia="fr-FR"/>
        </w:rPr>
        <w:t>Le travail en groupe :</w:t>
      </w:r>
      <w:r>
        <w:rPr>
          <w:rFonts w:ascii="Calibri" w:eastAsia="Times New Roman" w:hAnsi="Calibri" w:cs="Times New Roman"/>
          <w:u w:val="none"/>
          <w:lang w:eastAsia="fr-FR"/>
        </w:rPr>
        <w:t xml:space="preserve"> initié</w:t>
      </w:r>
      <w:r w:rsidRPr="00367BA3">
        <w:rPr>
          <w:rFonts w:ascii="Calibri" w:eastAsia="Times New Roman" w:hAnsi="Calibri" w:cs="Times New Roman"/>
          <w:u w:val="none"/>
          <w:lang w:eastAsia="fr-FR"/>
        </w:rPr>
        <w:t xml:space="preserve"> par l’enseignant, </w:t>
      </w:r>
      <w:r>
        <w:rPr>
          <w:rFonts w:ascii="Calibri" w:eastAsia="Times New Roman" w:hAnsi="Calibri" w:cs="Times New Roman"/>
          <w:u w:val="none"/>
          <w:lang w:eastAsia="fr-FR"/>
        </w:rPr>
        <w:t>il</w:t>
      </w:r>
      <w:r w:rsidRPr="00367BA3">
        <w:rPr>
          <w:rFonts w:ascii="Calibri" w:eastAsia="Times New Roman" w:hAnsi="Calibri" w:cs="Times New Roman"/>
          <w:u w:val="none"/>
          <w:lang w:eastAsia="fr-FR"/>
        </w:rPr>
        <w:t xml:space="preserve"> consiste à inciter les élèves à interagir au sein d’un petit groupe pour réaliser une tâche identifiée. Travailler en groupe </w:t>
      </w:r>
      <w:r>
        <w:rPr>
          <w:rFonts w:ascii="Calibri" w:eastAsia="Times New Roman" w:hAnsi="Calibri" w:cs="Times New Roman"/>
          <w:u w:val="none"/>
          <w:lang w:eastAsia="fr-FR"/>
        </w:rPr>
        <w:t>suppose de</w:t>
      </w:r>
      <w:r w:rsidRPr="00367BA3">
        <w:rPr>
          <w:rFonts w:ascii="Calibri" w:eastAsia="Times New Roman" w:hAnsi="Calibri" w:cs="Times New Roman"/>
          <w:u w:val="none"/>
          <w:lang w:eastAsia="fr-FR"/>
        </w:rPr>
        <w:t xml:space="preserve"> pouvoir intégrer une communauté de ressources plus large que son cercle habituel. Le travail en groupe s’achève lorsque la tâche est réalisée ou lorsque les conditions de la rencontre n’ont pas permis le travail. </w:t>
      </w:r>
    </w:p>
    <w:sectPr w:rsidR="00367BA3" w:rsidRPr="00367BA3" w:rsidSect="00682BF3">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CE" w:rsidRDefault="00702DCE" w:rsidP="003E3EE5">
      <w:r>
        <w:separator/>
      </w:r>
    </w:p>
  </w:endnote>
  <w:endnote w:type="continuationSeparator" w:id="0">
    <w:p w:rsidR="00702DCE" w:rsidRDefault="00702DCE" w:rsidP="003E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DD" w:rsidRDefault="00682BF3">
    <w:pPr>
      <w:pStyle w:val="Pieddepage"/>
      <w:pBdr>
        <w:top w:val="thinThickSmallGap" w:sz="24" w:space="1" w:color="622423" w:themeColor="accent2" w:themeShade="7F"/>
      </w:pBdr>
      <w:rPr>
        <w:rFonts w:asciiTheme="majorHAnsi" w:hAnsiTheme="majorHAnsi"/>
      </w:rPr>
    </w:pPr>
    <w:r>
      <w:rPr>
        <w:u w:val="none"/>
      </w:rPr>
      <w:t>Laurence</w:t>
    </w:r>
    <w:r w:rsidR="006646DD" w:rsidRPr="006646DD">
      <w:rPr>
        <w:u w:val="none"/>
      </w:rPr>
      <w:t xml:space="preserve"> PR</w:t>
    </w:r>
    <w:r w:rsidR="006646DD">
      <w:rPr>
        <w:u w:val="none"/>
      </w:rPr>
      <w:t>É</w:t>
    </w:r>
    <w:r w:rsidR="006646DD" w:rsidRPr="006646DD">
      <w:rPr>
        <w:u w:val="none"/>
      </w:rPr>
      <w:t xml:space="preserve">VOST </w:t>
    </w:r>
    <w:r>
      <w:rPr>
        <w:u w:val="none"/>
      </w:rPr>
      <w:t xml:space="preserve">- PEMF </w:t>
    </w:r>
    <w:r w:rsidR="00E04110">
      <w:rPr>
        <w:u w:val="none"/>
      </w:rPr>
      <w:t>-</w:t>
    </w:r>
    <w:r>
      <w:rPr>
        <w:u w:val="none"/>
      </w:rPr>
      <w:t xml:space="preserve"> </w:t>
    </w:r>
    <w:r w:rsidR="00E04110">
      <w:rPr>
        <w:u w:val="none"/>
      </w:rPr>
      <w:t>Janvier 2013</w:t>
    </w:r>
  </w:p>
  <w:p w:rsidR="00DF4F45" w:rsidRDefault="00DF4F45" w:rsidP="003E3E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CE" w:rsidRDefault="00702DCE" w:rsidP="003E3EE5">
      <w:r>
        <w:separator/>
      </w:r>
    </w:p>
  </w:footnote>
  <w:footnote w:type="continuationSeparator" w:id="0">
    <w:p w:rsidR="00702DCE" w:rsidRDefault="00702DCE" w:rsidP="003E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404"/>
    <w:multiLevelType w:val="hybridMultilevel"/>
    <w:tmpl w:val="A37A2DEC"/>
    <w:lvl w:ilvl="0" w:tplc="64D470F4">
      <w:start w:val="1"/>
      <w:numFmt w:val="bullet"/>
      <w:suff w:val="space"/>
      <w:lvlText w:val=""/>
      <w:lvlJc w:val="left"/>
      <w:pPr>
        <w:ind w:left="142" w:hanging="142"/>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A4074"/>
    <w:multiLevelType w:val="hybridMultilevel"/>
    <w:tmpl w:val="BE229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80142A"/>
    <w:multiLevelType w:val="hybridMultilevel"/>
    <w:tmpl w:val="BE229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2667E7"/>
    <w:multiLevelType w:val="hybridMultilevel"/>
    <w:tmpl w:val="CD20B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6B63FF"/>
    <w:multiLevelType w:val="hybridMultilevel"/>
    <w:tmpl w:val="BE229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F45"/>
    <w:rsid w:val="00035DE7"/>
    <w:rsid w:val="000759D1"/>
    <w:rsid w:val="00112F1C"/>
    <w:rsid w:val="00367BA3"/>
    <w:rsid w:val="003A4928"/>
    <w:rsid w:val="003E3EE5"/>
    <w:rsid w:val="004262C0"/>
    <w:rsid w:val="004778B9"/>
    <w:rsid w:val="00632FD1"/>
    <w:rsid w:val="006445A4"/>
    <w:rsid w:val="006646DD"/>
    <w:rsid w:val="0067138D"/>
    <w:rsid w:val="00682BF3"/>
    <w:rsid w:val="006F5E06"/>
    <w:rsid w:val="00702DCE"/>
    <w:rsid w:val="00721F0A"/>
    <w:rsid w:val="0072200F"/>
    <w:rsid w:val="00810A24"/>
    <w:rsid w:val="00817608"/>
    <w:rsid w:val="00907EA7"/>
    <w:rsid w:val="00A31E32"/>
    <w:rsid w:val="00AD18A3"/>
    <w:rsid w:val="00B3702B"/>
    <w:rsid w:val="00DF4F45"/>
    <w:rsid w:val="00E04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E5"/>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4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F45"/>
    <w:rPr>
      <w:rFonts w:ascii="Tahoma" w:hAnsi="Tahoma" w:cs="Tahoma"/>
      <w:sz w:val="16"/>
      <w:szCs w:val="16"/>
    </w:rPr>
  </w:style>
  <w:style w:type="paragraph" w:styleId="En-tte">
    <w:name w:val="header"/>
    <w:basedOn w:val="Normal"/>
    <w:link w:val="En-tteCar"/>
    <w:uiPriority w:val="99"/>
    <w:unhideWhenUsed/>
    <w:rsid w:val="00DF4F45"/>
    <w:pPr>
      <w:tabs>
        <w:tab w:val="center" w:pos="4536"/>
        <w:tab w:val="right" w:pos="9072"/>
      </w:tabs>
      <w:spacing w:after="0" w:line="240" w:lineRule="auto"/>
    </w:pPr>
  </w:style>
  <w:style w:type="character" w:customStyle="1" w:styleId="En-tteCar">
    <w:name w:val="En-tête Car"/>
    <w:basedOn w:val="Policepardfaut"/>
    <w:link w:val="En-tte"/>
    <w:uiPriority w:val="99"/>
    <w:rsid w:val="00DF4F45"/>
  </w:style>
  <w:style w:type="paragraph" w:styleId="Pieddepage">
    <w:name w:val="footer"/>
    <w:basedOn w:val="Normal"/>
    <w:link w:val="PieddepageCar"/>
    <w:uiPriority w:val="99"/>
    <w:unhideWhenUsed/>
    <w:rsid w:val="00DF4F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F45"/>
  </w:style>
  <w:style w:type="paragraph" w:styleId="NormalWeb">
    <w:name w:val="Normal (Web)"/>
    <w:basedOn w:val="Normal"/>
    <w:uiPriority w:val="99"/>
    <w:unhideWhenUsed/>
    <w:rsid w:val="00DF4F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F4F45"/>
    <w:rPr>
      <w:i/>
      <w:iCs/>
    </w:rPr>
  </w:style>
  <w:style w:type="character" w:customStyle="1" w:styleId="txtcontent1">
    <w:name w:val="txtcontent1"/>
    <w:basedOn w:val="Policepardfaut"/>
    <w:rsid w:val="000759D1"/>
    <w:rPr>
      <w:vanish w:val="0"/>
      <w:webHidden w:val="0"/>
      <w:color w:val="3D3D3D"/>
      <w:sz w:val="20"/>
      <w:szCs w:val="20"/>
      <w:specVanish w:val="0"/>
    </w:rPr>
  </w:style>
  <w:style w:type="paragraph" w:styleId="Paragraphedeliste">
    <w:name w:val="List Paragraph"/>
    <w:basedOn w:val="Normal"/>
    <w:uiPriority w:val="34"/>
    <w:qFormat/>
    <w:rsid w:val="00682BF3"/>
    <w:pPr>
      <w:ind w:left="720"/>
      <w:contextualSpacing/>
    </w:pPr>
  </w:style>
  <w:style w:type="paragraph" w:styleId="Notedebasdepage">
    <w:name w:val="footnote text"/>
    <w:basedOn w:val="Normal"/>
    <w:link w:val="NotedebasdepageCar"/>
    <w:semiHidden/>
    <w:rsid w:val="00682BF3"/>
    <w:pPr>
      <w:spacing w:after="0" w:line="240" w:lineRule="auto"/>
    </w:pPr>
    <w:rPr>
      <w:rFonts w:ascii="Times New Roman" w:eastAsia="Times New Roman" w:hAnsi="Times New Roman" w:cs="Times New Roman"/>
      <w:sz w:val="20"/>
      <w:szCs w:val="20"/>
      <w:u w:val="none"/>
      <w:lang w:eastAsia="fr-FR"/>
    </w:rPr>
  </w:style>
  <w:style w:type="character" w:customStyle="1" w:styleId="NotedebasdepageCar">
    <w:name w:val="Note de bas de page Car"/>
    <w:basedOn w:val="Policepardfaut"/>
    <w:link w:val="Notedebasdepage"/>
    <w:semiHidden/>
    <w:rsid w:val="00682BF3"/>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82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ea-ace.ca/sites/default/files/imagecache/Original_size/edcan-v51-n1-connac-figure.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dc:creator>
  <cp:lastModifiedBy>Laurence</cp:lastModifiedBy>
  <cp:revision>9</cp:revision>
  <cp:lastPrinted>2012-11-21T05:05:00Z</cp:lastPrinted>
  <dcterms:created xsi:type="dcterms:W3CDTF">2012-05-17T12:56:00Z</dcterms:created>
  <dcterms:modified xsi:type="dcterms:W3CDTF">2013-01-07T04:48:00Z</dcterms:modified>
</cp:coreProperties>
</file>